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59C6" w14:textId="77777777" w:rsidR="006F0324" w:rsidRDefault="00B8151F">
      <w:pPr>
        <w:jc w:val="center"/>
        <w:rPr>
          <w:rFonts w:ascii="宋体" w:eastAsia="宋体" w:hAnsi="宋体" w:cs="宋体"/>
          <w:b/>
          <w:bCs/>
          <w:sz w:val="28"/>
          <w:szCs w:val="28"/>
        </w:rPr>
      </w:pPr>
      <w:r>
        <w:rPr>
          <w:rFonts w:ascii="宋体" w:eastAsia="宋体" w:hAnsi="宋体" w:cs="宋体" w:hint="eastAsia"/>
          <w:b/>
          <w:bCs/>
          <w:sz w:val="28"/>
          <w:szCs w:val="28"/>
        </w:rPr>
        <w:t>药物临床试验安全性事件和偏离事件报告要求</w:t>
      </w:r>
    </w:p>
    <w:p w14:paraId="7E9AEB67" w14:textId="77777777" w:rsidR="006F0324" w:rsidRDefault="006F0324">
      <w:pPr>
        <w:jc w:val="center"/>
        <w:rPr>
          <w:rFonts w:ascii="宋体" w:eastAsia="宋体" w:hAnsi="宋体" w:cs="宋体"/>
          <w:b/>
          <w:bCs/>
          <w:sz w:val="24"/>
          <w:szCs w:val="24"/>
        </w:rPr>
      </w:pPr>
    </w:p>
    <w:p w14:paraId="4FE260BB" w14:textId="14C59E90" w:rsidR="006F0324" w:rsidRDefault="00B8151F">
      <w:pPr>
        <w:pStyle w:val="a3"/>
        <w:spacing w:line="360" w:lineRule="auto"/>
        <w:ind w:left="8" w:right="76" w:firstLine="562"/>
        <w:jc w:val="both"/>
        <w:rPr>
          <w:snapToGrid/>
          <w:color w:val="auto"/>
          <w:kern w:val="2"/>
          <w:sz w:val="24"/>
          <w:szCs w:val="24"/>
          <w:lang w:eastAsia="zh-CN"/>
        </w:rPr>
      </w:pPr>
      <w:r>
        <w:rPr>
          <w:rFonts w:hint="eastAsia"/>
          <w:snapToGrid/>
          <w:color w:val="auto"/>
          <w:kern w:val="2"/>
          <w:sz w:val="24"/>
          <w:szCs w:val="24"/>
          <w:lang w:eastAsia="zh-CN"/>
        </w:rPr>
        <w:t>本医疗机构严格遵循2020年7月1日起施行的《药物临床试验质量管理规范》（GCP）和 2023 年国家卫生健康委、教育部、科技部、国家中医药管理局联合发布的《涉及人的生命科学和医学研究伦理审查办法》等法规指南规定开展药物注册临床试验，包括对药物注册临床试验的安全性事件和偏离事件报告的管理。</w:t>
      </w:r>
    </w:p>
    <w:p w14:paraId="3C2248F4" w14:textId="77777777" w:rsidR="006F0324" w:rsidRDefault="006F0324">
      <w:pPr>
        <w:pStyle w:val="a3"/>
        <w:spacing w:line="360" w:lineRule="auto"/>
        <w:ind w:right="76"/>
        <w:jc w:val="both"/>
        <w:rPr>
          <w:snapToGrid/>
          <w:color w:val="auto"/>
          <w:kern w:val="2"/>
          <w:sz w:val="24"/>
          <w:szCs w:val="24"/>
          <w:lang w:eastAsia="zh-CN"/>
        </w:rPr>
      </w:pPr>
    </w:p>
    <w:p w14:paraId="338C4989" w14:textId="77777777" w:rsidR="006F0324" w:rsidRDefault="00B8151F">
      <w:pPr>
        <w:pStyle w:val="a3"/>
        <w:spacing w:line="360" w:lineRule="auto"/>
        <w:ind w:right="76"/>
        <w:jc w:val="both"/>
        <w:rPr>
          <w:snapToGrid/>
          <w:color w:val="auto"/>
          <w:kern w:val="2"/>
          <w:sz w:val="24"/>
          <w:szCs w:val="24"/>
          <w:lang w:eastAsia="zh-CN"/>
        </w:rPr>
      </w:pPr>
      <w:r>
        <w:rPr>
          <w:rFonts w:hint="eastAsia"/>
          <w:snapToGrid/>
          <w:color w:val="auto"/>
          <w:kern w:val="2"/>
          <w:sz w:val="24"/>
          <w:szCs w:val="24"/>
          <w:lang w:eastAsia="zh-CN"/>
        </w:rPr>
        <w:t>一、</w:t>
      </w:r>
      <w:r>
        <w:rPr>
          <w:rFonts w:hint="eastAsia"/>
          <w:b/>
          <w:bCs/>
          <w:sz w:val="24"/>
          <w:szCs w:val="24"/>
          <w:lang w:eastAsia="zh-CN"/>
        </w:rPr>
        <w:t>安全性事件</w:t>
      </w:r>
    </w:p>
    <w:p w14:paraId="759351F3" w14:textId="77777777" w:rsidR="006F0324" w:rsidRDefault="00B8151F">
      <w:pPr>
        <w:pStyle w:val="a3"/>
        <w:spacing w:line="360" w:lineRule="auto"/>
        <w:ind w:right="76"/>
        <w:jc w:val="both"/>
        <w:rPr>
          <w:snapToGrid/>
          <w:color w:val="auto"/>
          <w:kern w:val="2"/>
          <w:sz w:val="24"/>
          <w:szCs w:val="24"/>
          <w:lang w:eastAsia="zh-CN"/>
        </w:rPr>
      </w:pPr>
      <w:r>
        <w:rPr>
          <w:rFonts w:hint="eastAsia"/>
          <w:snapToGrid/>
          <w:color w:val="auto"/>
          <w:kern w:val="2"/>
          <w:sz w:val="24"/>
          <w:szCs w:val="24"/>
          <w:lang w:eastAsia="zh-CN"/>
        </w:rPr>
        <w:t>（一）报告范围</w:t>
      </w:r>
    </w:p>
    <w:p w14:paraId="7B2F2D1F" w14:textId="77777777" w:rsidR="006F0324" w:rsidRDefault="00B8151F">
      <w:pPr>
        <w:pStyle w:val="a3"/>
        <w:spacing w:line="360" w:lineRule="auto"/>
        <w:ind w:firstLineChars="100" w:firstLine="240"/>
        <w:rPr>
          <w:snapToGrid/>
          <w:color w:val="auto"/>
          <w:kern w:val="2"/>
          <w:sz w:val="24"/>
          <w:szCs w:val="24"/>
          <w:lang w:eastAsia="zh-CN"/>
        </w:rPr>
      </w:pPr>
      <w:r>
        <w:rPr>
          <w:rFonts w:hint="eastAsia"/>
          <w:snapToGrid/>
          <w:color w:val="auto"/>
          <w:kern w:val="2"/>
          <w:sz w:val="24"/>
          <w:szCs w:val="24"/>
          <w:lang w:eastAsia="zh-CN"/>
        </w:rPr>
        <w:t>(1)本中心发生的严重不良事件（SAE），包括 SUSAR。</w:t>
      </w:r>
    </w:p>
    <w:p w14:paraId="7A7F1B03" w14:textId="77777777" w:rsidR="006F0324" w:rsidRDefault="00B8151F">
      <w:pPr>
        <w:pStyle w:val="a3"/>
        <w:spacing w:line="360" w:lineRule="auto"/>
        <w:ind w:left="199"/>
        <w:rPr>
          <w:snapToGrid/>
          <w:color w:val="auto"/>
          <w:kern w:val="2"/>
          <w:sz w:val="24"/>
          <w:szCs w:val="24"/>
          <w:lang w:eastAsia="zh-CN"/>
        </w:rPr>
      </w:pPr>
      <w:r>
        <w:rPr>
          <w:rFonts w:hint="eastAsia"/>
          <w:snapToGrid/>
          <w:color w:val="auto"/>
          <w:kern w:val="2"/>
          <w:sz w:val="24"/>
          <w:szCs w:val="24"/>
          <w:lang w:eastAsia="zh-CN"/>
        </w:rPr>
        <w:t>(2)外院发生的所有可疑且非预期严重不良反应（SUSAR）。</w:t>
      </w:r>
    </w:p>
    <w:p w14:paraId="2BCAD0DD" w14:textId="054E912D" w:rsidR="006F0324" w:rsidRDefault="00B8151F">
      <w:pPr>
        <w:pStyle w:val="a3"/>
        <w:spacing w:line="360" w:lineRule="auto"/>
        <w:ind w:left="198"/>
        <w:rPr>
          <w:snapToGrid/>
          <w:color w:val="auto"/>
          <w:kern w:val="2"/>
          <w:sz w:val="24"/>
          <w:szCs w:val="24"/>
          <w:lang w:eastAsia="zh-CN"/>
        </w:rPr>
      </w:pPr>
      <w:r>
        <w:rPr>
          <w:rFonts w:hint="eastAsia"/>
          <w:snapToGrid/>
          <w:color w:val="auto"/>
          <w:kern w:val="2"/>
          <w:sz w:val="24"/>
          <w:szCs w:val="24"/>
          <w:lang w:eastAsia="zh-CN"/>
        </w:rPr>
        <w:t>(3)其他需要报告的安全性信息（包括药物研发期间安全性更新报告（DSUR）、数据安全监测报告、以及其他可能影响</w:t>
      </w:r>
      <w:r w:rsidR="00FA5834">
        <w:rPr>
          <w:rFonts w:hint="eastAsia"/>
          <w:snapToGrid/>
          <w:color w:val="auto"/>
          <w:kern w:val="2"/>
          <w:sz w:val="24"/>
          <w:szCs w:val="24"/>
          <w:lang w:eastAsia="zh-CN"/>
        </w:rPr>
        <w:t>受试者</w:t>
      </w:r>
      <w:r>
        <w:rPr>
          <w:rFonts w:hint="eastAsia"/>
          <w:snapToGrid/>
          <w:color w:val="auto"/>
          <w:kern w:val="2"/>
          <w:sz w:val="24"/>
          <w:szCs w:val="24"/>
          <w:lang w:eastAsia="zh-CN"/>
        </w:rPr>
        <w:t>安全、可能影响临床试验实施、可能改变医学伦理委员会药物临床试验分会同意意见的安全性信息）。</w:t>
      </w:r>
    </w:p>
    <w:p w14:paraId="45DADC2B" w14:textId="77777777" w:rsidR="006F0324" w:rsidRDefault="00B8151F">
      <w:pPr>
        <w:pStyle w:val="a3"/>
        <w:spacing w:line="360" w:lineRule="auto"/>
        <w:rPr>
          <w:snapToGrid/>
          <w:color w:val="auto"/>
          <w:kern w:val="2"/>
          <w:sz w:val="24"/>
          <w:szCs w:val="24"/>
          <w:lang w:eastAsia="zh-CN"/>
        </w:rPr>
      </w:pPr>
      <w:r>
        <w:rPr>
          <w:rFonts w:hint="eastAsia"/>
          <w:snapToGrid/>
          <w:color w:val="auto"/>
          <w:kern w:val="2"/>
          <w:sz w:val="24"/>
          <w:szCs w:val="24"/>
          <w:lang w:eastAsia="zh-CN"/>
        </w:rPr>
        <w:t>（二）报告要求</w:t>
      </w:r>
    </w:p>
    <w:p w14:paraId="315C79AC" w14:textId="77777777" w:rsidR="006F0324" w:rsidRDefault="00B8151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1. 本中心严重不良事件（Serious Adverse Event，SAE）的报告 </w:t>
      </w:r>
    </w:p>
    <w:p w14:paraId="427AA2D6" w14:textId="2E0F62B7" w:rsidR="006F0324" w:rsidRDefault="00B8151F">
      <w:pPr>
        <w:adjustRightInd w:val="0"/>
        <w:snapToGrid w:val="0"/>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除试验方案或者其他文件（如研究者手册）中规定不需立即报告的严重不良事件外，研究者应当在获知后24小时内，</w:t>
      </w:r>
      <w:bookmarkStart w:id="0" w:name="_Hlk45892226"/>
      <w:r>
        <w:rPr>
          <w:rFonts w:ascii="宋体" w:eastAsia="宋体" w:hAnsi="宋体" w:cs="宋体" w:hint="eastAsia"/>
          <w:sz w:val="24"/>
          <w:szCs w:val="24"/>
        </w:rPr>
        <w:t>向医学伦理委员会药物临床试验分会</w:t>
      </w:r>
      <w:bookmarkEnd w:id="0"/>
      <w:r>
        <w:rPr>
          <w:rFonts w:ascii="宋体" w:eastAsia="宋体" w:hAnsi="宋体" w:cs="宋体" w:hint="eastAsia"/>
          <w:sz w:val="24"/>
          <w:szCs w:val="24"/>
        </w:rPr>
        <w:t>书面报告（使用中心模版</w:t>
      </w:r>
      <w:r w:rsidR="0083146F">
        <w:rPr>
          <w:rFonts w:ascii="宋体" w:eastAsia="宋体" w:hAnsi="宋体" w:cs="宋体" w:hint="eastAsia"/>
          <w:sz w:val="24"/>
          <w:szCs w:val="24"/>
        </w:rPr>
        <w:t>安全性事件递交信以及严重不良事件</w:t>
      </w:r>
      <w:r>
        <w:rPr>
          <w:rFonts w:ascii="宋体" w:eastAsia="宋体" w:hAnsi="宋体" w:cs="宋体" w:hint="eastAsia"/>
          <w:sz w:val="24"/>
          <w:szCs w:val="24"/>
        </w:rPr>
        <w:t>报告表）所有本院发生的严重不良事件，并且按照与申办者约定的时限，向申办者报告。</w:t>
      </w:r>
    </w:p>
    <w:p w14:paraId="3ACBE337" w14:textId="77777777" w:rsidR="006F0324" w:rsidRDefault="00B8151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2. 可疑且非预期严重不良反应(Suspected Unexpected Serious Adverse Reaction，SUSAR)的报告</w:t>
      </w:r>
    </w:p>
    <w:p w14:paraId="7EDA64EE" w14:textId="427F0D6F" w:rsidR="006F0324" w:rsidRDefault="00B8151F">
      <w:pPr>
        <w:adjustRightInd w:val="0"/>
        <w:snapToGrid w:val="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（1）院内SUSAR  研究者应在获知 SUSAR 后的 24 小时内首次书面报告医学伦理委员会药物临床试验分会（使用中心模版</w:t>
      </w:r>
      <w:r w:rsidR="0083146F">
        <w:rPr>
          <w:rFonts w:ascii="宋体" w:eastAsia="宋体" w:hAnsi="宋体" w:cs="宋体" w:hint="eastAsia"/>
          <w:sz w:val="24"/>
          <w:szCs w:val="24"/>
        </w:rPr>
        <w:t>安全性事件递交信以及严重不良事件</w:t>
      </w:r>
      <w:r>
        <w:rPr>
          <w:rFonts w:ascii="宋体" w:eastAsia="宋体" w:hAnsi="宋体" w:cs="宋体" w:hint="eastAsia"/>
          <w:sz w:val="24"/>
          <w:szCs w:val="24"/>
        </w:rPr>
        <w:t>报告表），随后应当根据 SUSAR 的进展及时提供详尽、书面的随访报告。</w:t>
      </w:r>
    </w:p>
    <w:p w14:paraId="114A9E00" w14:textId="2C860D59" w:rsidR="006F0324" w:rsidRDefault="00B8151F">
      <w:pPr>
        <w:adjustRightInd w:val="0"/>
        <w:snapToGrid w:val="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（2）外院SUSAR  申办者负责收集外院SUSAR，向医学伦理委员会药物临床试验分会按季度汇总以书面报</w:t>
      </w:r>
      <w:bookmarkStart w:id="1" w:name="_GoBack"/>
      <w:bookmarkEnd w:id="1"/>
      <w:r>
        <w:rPr>
          <w:rFonts w:ascii="宋体" w:eastAsia="宋体" w:hAnsi="宋体" w:cs="宋体" w:hint="eastAsia"/>
          <w:sz w:val="24"/>
          <w:szCs w:val="24"/>
        </w:rPr>
        <w:t>告外院SUSAR进行审查（使用</w:t>
      </w:r>
      <w:r w:rsidR="00DC5C2C">
        <w:rPr>
          <w:rFonts w:ascii="宋体" w:eastAsia="宋体" w:hAnsi="宋体" w:cs="宋体" w:hint="eastAsia"/>
          <w:sz w:val="24"/>
          <w:szCs w:val="24"/>
        </w:rPr>
        <w:t>外院S</w:t>
      </w:r>
      <w:r w:rsidR="00DC5C2C">
        <w:rPr>
          <w:rFonts w:ascii="宋体" w:eastAsia="宋体" w:hAnsi="宋体" w:cs="宋体"/>
          <w:sz w:val="24"/>
          <w:szCs w:val="24"/>
        </w:rPr>
        <w:t>USAR</w:t>
      </w:r>
      <w:r>
        <w:rPr>
          <w:rFonts w:ascii="宋体" w:eastAsia="宋体" w:hAnsi="宋体" w:cs="宋体" w:hint="eastAsia"/>
          <w:sz w:val="24"/>
          <w:szCs w:val="24"/>
        </w:rPr>
        <w:t>递交信</w:t>
      </w:r>
      <w:r w:rsidR="008771A6">
        <w:rPr>
          <w:rFonts w:ascii="宋体" w:eastAsia="宋体" w:hAnsi="宋体" w:cs="宋体" w:hint="eastAsia"/>
          <w:sz w:val="24"/>
          <w:szCs w:val="24"/>
        </w:rPr>
        <w:t>以及</w:t>
      </w:r>
      <w:r w:rsidR="0083146F">
        <w:rPr>
          <w:rFonts w:ascii="宋体" w:eastAsia="宋体" w:hAnsi="宋体" w:cs="宋体" w:hint="eastAsia"/>
          <w:sz w:val="24"/>
          <w:szCs w:val="24"/>
        </w:rPr>
        <w:t>S</w:t>
      </w:r>
      <w:r w:rsidR="0083146F">
        <w:rPr>
          <w:rFonts w:ascii="宋体" w:eastAsia="宋体" w:hAnsi="宋体" w:cs="宋体"/>
          <w:sz w:val="24"/>
          <w:szCs w:val="24"/>
        </w:rPr>
        <w:t>USAR</w:t>
      </w:r>
      <w:r w:rsidR="008771A6">
        <w:rPr>
          <w:rFonts w:ascii="宋体" w:eastAsia="宋体" w:hAnsi="宋体" w:cs="宋体" w:hint="eastAsia"/>
          <w:sz w:val="24"/>
          <w:szCs w:val="24"/>
        </w:rPr>
        <w:t>汇总表</w:t>
      </w:r>
      <w:r>
        <w:rPr>
          <w:rFonts w:ascii="宋体" w:eastAsia="宋体" w:hAnsi="宋体" w:cs="宋体" w:hint="eastAsia"/>
          <w:sz w:val="24"/>
          <w:szCs w:val="24"/>
        </w:rPr>
        <w:t>模版，1、4、7及10月底前完成上季度SUSAR递交）。</w:t>
      </w:r>
    </w:p>
    <w:p w14:paraId="104BA0B8" w14:textId="77777777" w:rsidR="006F0324" w:rsidRDefault="00B8151F">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3. 其他需要报告的安全性信息</w:t>
      </w:r>
    </w:p>
    <w:p w14:paraId="14A101D5" w14:textId="5B784E20" w:rsidR="006F0324" w:rsidRDefault="00B8151F">
      <w:pPr>
        <w:adjustRightInd w:val="0"/>
        <w:snapToGrid w:val="0"/>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lastRenderedPageBreak/>
        <w:t>（1）申办者应当立即分析评估任何来源的安全性相关信息（包括文献、数据与安全监察报告、期中分析结果），应当将临床试验中发现的可能影响受试者安全、可能影响临床试验实施、可能改变医学伦理委员会药物临床试验分会同意意见的问题，及时通知研究者、药品监督管理部门，研究者及时阅读并签收上述报告，并考虑</w:t>
      </w:r>
      <w:r w:rsidR="00FA5834">
        <w:rPr>
          <w:rFonts w:ascii="宋体" w:eastAsia="宋体" w:hAnsi="宋体" w:cs="宋体" w:hint="eastAsia"/>
          <w:sz w:val="24"/>
          <w:szCs w:val="24"/>
        </w:rPr>
        <w:t>受试者</w:t>
      </w:r>
      <w:r>
        <w:rPr>
          <w:rFonts w:ascii="宋体" w:eastAsia="宋体" w:hAnsi="宋体" w:cs="宋体" w:hint="eastAsia"/>
          <w:sz w:val="24"/>
          <w:szCs w:val="24"/>
        </w:rPr>
        <w:t>的治疗是否需进行相应调整，必要时尽早与</w:t>
      </w:r>
      <w:r w:rsidR="00FA5834">
        <w:rPr>
          <w:rFonts w:ascii="宋体" w:eastAsia="宋体" w:hAnsi="宋体" w:cs="宋体" w:hint="eastAsia"/>
          <w:sz w:val="24"/>
          <w:szCs w:val="24"/>
        </w:rPr>
        <w:t>受试者</w:t>
      </w:r>
      <w:r>
        <w:rPr>
          <w:rFonts w:ascii="宋体" w:eastAsia="宋体" w:hAnsi="宋体" w:cs="宋体" w:hint="eastAsia"/>
          <w:sz w:val="24"/>
          <w:szCs w:val="24"/>
        </w:rPr>
        <w:t>沟通。研究者获知后及时向药物临床试验机构办公室、医学伦理委员会药物临床试验分会递交申办者提供的安全性信息和必要时研究者团队采取对应措施的相关文件。</w:t>
      </w:r>
    </w:p>
    <w:p w14:paraId="6930ED47" w14:textId="77777777" w:rsidR="006F0324" w:rsidRDefault="00B8151F">
      <w:pPr>
        <w:autoSpaceDE w:val="0"/>
        <w:autoSpaceDN w:val="0"/>
        <w:adjustRightInd w:val="0"/>
        <w:snapToGrid w:val="0"/>
        <w:spacing w:line="360" w:lineRule="auto"/>
        <w:jc w:val="left"/>
        <w:rPr>
          <w:rFonts w:ascii="宋体" w:eastAsia="宋体" w:hAnsi="宋体" w:cs="宋体"/>
          <w:sz w:val="24"/>
          <w:szCs w:val="24"/>
        </w:rPr>
      </w:pPr>
      <w:r>
        <w:rPr>
          <w:rFonts w:ascii="宋体" w:eastAsia="宋体" w:hAnsi="宋体" w:cs="宋体" w:hint="eastAsia"/>
          <w:sz w:val="24"/>
          <w:szCs w:val="24"/>
        </w:rPr>
        <w:t>（2）安全性更新报告（DSUR）  申办者应按照国家药监局药品审评中心2020年7月1号发布的《研发期间安全性更新报告管理规范》报告DSUR，并在递交国家药品监督管理局药品审评中心的同时，将DSUR 有关信息通报给研究者。研究者应在接收申办者提交的DSUR 后及时签收、阅读，以评估是否需要采取相关措施保护受试者安全和权益，并及时向医学伦理委员会药物临床试验分会邮箱（qylcsyllwyh@163.com）发送邮件，定期（一般不大于1 年）递交已签名的《临床试验DSUR》汇总列表。</w:t>
      </w:r>
    </w:p>
    <w:p w14:paraId="3FD0397B" w14:textId="77777777" w:rsidR="006F0324" w:rsidRDefault="006F0324">
      <w:pPr>
        <w:pStyle w:val="a3"/>
        <w:spacing w:line="360" w:lineRule="auto"/>
        <w:ind w:right="76"/>
        <w:jc w:val="both"/>
        <w:rPr>
          <w:b/>
          <w:bCs/>
          <w:snapToGrid/>
          <w:color w:val="auto"/>
          <w:kern w:val="2"/>
          <w:sz w:val="24"/>
          <w:szCs w:val="24"/>
          <w:lang w:eastAsia="zh-CN"/>
        </w:rPr>
      </w:pPr>
    </w:p>
    <w:p w14:paraId="4215F14A" w14:textId="77777777" w:rsidR="006F0324" w:rsidRDefault="00B8151F">
      <w:pPr>
        <w:pStyle w:val="a3"/>
        <w:spacing w:line="360" w:lineRule="auto"/>
        <w:ind w:right="76"/>
        <w:jc w:val="both"/>
        <w:rPr>
          <w:b/>
          <w:bCs/>
          <w:snapToGrid/>
          <w:color w:val="auto"/>
          <w:kern w:val="2"/>
          <w:sz w:val="24"/>
          <w:szCs w:val="24"/>
          <w:lang w:eastAsia="zh-CN"/>
        </w:rPr>
      </w:pPr>
      <w:r>
        <w:rPr>
          <w:rFonts w:hint="eastAsia"/>
          <w:b/>
          <w:bCs/>
          <w:snapToGrid/>
          <w:color w:val="auto"/>
          <w:kern w:val="2"/>
          <w:sz w:val="24"/>
          <w:szCs w:val="24"/>
          <w:lang w:eastAsia="zh-CN"/>
        </w:rPr>
        <w:t>二、偏离事件报告</w:t>
      </w:r>
    </w:p>
    <w:p w14:paraId="5779E76C" w14:textId="5CEC9A9D" w:rsidR="006F0324" w:rsidRDefault="002331AE" w:rsidP="008414B2">
      <w:pPr>
        <w:pStyle w:val="a3"/>
        <w:spacing w:line="360" w:lineRule="auto"/>
        <w:ind w:right="76" w:firstLineChars="200" w:firstLine="480"/>
        <w:jc w:val="both"/>
        <w:rPr>
          <w:snapToGrid/>
          <w:color w:val="auto"/>
          <w:kern w:val="2"/>
          <w:sz w:val="24"/>
          <w:szCs w:val="24"/>
          <w:lang w:eastAsia="zh-CN"/>
        </w:rPr>
      </w:pPr>
      <w:r>
        <w:rPr>
          <w:rFonts w:hint="eastAsia"/>
          <w:snapToGrid/>
          <w:color w:val="auto"/>
          <w:kern w:val="2"/>
          <w:sz w:val="24"/>
          <w:szCs w:val="24"/>
          <w:lang w:eastAsia="zh-CN"/>
        </w:rPr>
        <w:t>依据《药物临床试验管理规范》</w:t>
      </w:r>
      <w:r w:rsidR="00B8151F">
        <w:rPr>
          <w:rFonts w:hint="eastAsia"/>
          <w:snapToGrid/>
          <w:color w:val="auto"/>
          <w:kern w:val="2"/>
          <w:sz w:val="24"/>
          <w:szCs w:val="24"/>
          <w:lang w:eastAsia="zh-CN"/>
        </w:rPr>
        <w:t xml:space="preserve"> 第十二条（十一）规定，</w:t>
      </w:r>
      <w:r w:rsidR="00FA5834" w:rsidRPr="00E60857">
        <w:rPr>
          <w:sz w:val="24"/>
          <w:szCs w:val="24"/>
          <w:lang w:eastAsia="zh-CN"/>
        </w:rPr>
        <w:t>临床试验实施中为消除对受试者紧急危害的试验方案的偏离或者修改；增加受试者风险或者显著影响临床试验实施的改变</w:t>
      </w:r>
      <w:r w:rsidR="00B8151F" w:rsidRPr="00E60857">
        <w:rPr>
          <w:rFonts w:hint="eastAsia"/>
          <w:snapToGrid/>
          <w:color w:val="auto"/>
          <w:kern w:val="2"/>
          <w:sz w:val="24"/>
          <w:szCs w:val="24"/>
          <w:lang w:eastAsia="zh-CN"/>
        </w:rPr>
        <w:t>应当及时报告。依据此规定本中心偏离时间具体报告要求如下：</w:t>
      </w:r>
      <w:r w:rsidR="00E60857">
        <w:rPr>
          <w:snapToGrid/>
          <w:color w:val="auto"/>
          <w:kern w:val="2"/>
          <w:sz w:val="24"/>
          <w:szCs w:val="24"/>
          <w:lang w:eastAsia="zh-CN"/>
        </w:rPr>
        <w:t xml:space="preserve"> </w:t>
      </w:r>
    </w:p>
    <w:p w14:paraId="06AA801A" w14:textId="5601109A" w:rsidR="00E60857" w:rsidRPr="00E60857" w:rsidRDefault="00E60857" w:rsidP="00E60857">
      <w:pPr>
        <w:pStyle w:val="a3"/>
        <w:numPr>
          <w:ilvl w:val="0"/>
          <w:numId w:val="1"/>
        </w:numPr>
        <w:spacing w:line="360" w:lineRule="auto"/>
        <w:ind w:right="76"/>
        <w:jc w:val="both"/>
        <w:rPr>
          <w:snapToGrid/>
          <w:color w:val="auto"/>
          <w:kern w:val="2"/>
          <w:sz w:val="24"/>
          <w:szCs w:val="24"/>
          <w:lang w:eastAsia="zh-CN"/>
        </w:rPr>
      </w:pPr>
      <w:r>
        <w:rPr>
          <w:rFonts w:hint="eastAsia"/>
          <w:snapToGrid/>
          <w:color w:val="auto"/>
          <w:kern w:val="2"/>
          <w:sz w:val="24"/>
          <w:szCs w:val="24"/>
          <w:lang w:eastAsia="zh-CN"/>
        </w:rPr>
        <w:t>对于本中心发生的满足上述及时报告要求的偏离事件，研究者应及时反馈申办者，并联合申办者就事件的原因、影响及处理措施予以详细说明，填写本中心偏离方案报告表，及时向</w:t>
      </w:r>
      <w:r>
        <w:rPr>
          <w:rFonts w:hint="eastAsia"/>
          <w:sz w:val="24"/>
          <w:szCs w:val="24"/>
          <w:lang w:eastAsia="zh-CN"/>
        </w:rPr>
        <w:t>医学伦理委员会药物临床试验分会</w:t>
      </w:r>
      <w:r>
        <w:rPr>
          <w:rFonts w:hint="eastAsia"/>
          <w:snapToGrid/>
          <w:color w:val="auto"/>
          <w:kern w:val="2"/>
          <w:sz w:val="24"/>
          <w:szCs w:val="24"/>
          <w:lang w:eastAsia="zh-CN"/>
        </w:rPr>
        <w:t>报告。及时报告的时限为研究者获知后10个工作日，如遇特殊情况，可递交补充说明解释延迟递交的合理理由，但最晚不得超过15个工作日。</w:t>
      </w:r>
    </w:p>
    <w:p w14:paraId="63B8B2E5" w14:textId="77777777" w:rsidR="006F0324" w:rsidRDefault="00B8151F">
      <w:pPr>
        <w:pStyle w:val="a3"/>
        <w:numPr>
          <w:ilvl w:val="0"/>
          <w:numId w:val="1"/>
        </w:numPr>
        <w:spacing w:before="5" w:line="360" w:lineRule="auto"/>
        <w:ind w:left="373" w:right="2" w:hanging="342"/>
        <w:rPr>
          <w:snapToGrid/>
          <w:color w:val="auto"/>
          <w:kern w:val="2"/>
          <w:sz w:val="24"/>
          <w:szCs w:val="24"/>
          <w:lang w:eastAsia="zh-CN"/>
        </w:rPr>
      </w:pPr>
      <w:r>
        <w:rPr>
          <w:rFonts w:hint="eastAsia"/>
          <w:snapToGrid/>
          <w:color w:val="auto"/>
          <w:kern w:val="2"/>
          <w:sz w:val="24"/>
          <w:szCs w:val="24"/>
          <w:lang w:eastAsia="zh-CN"/>
        </w:rPr>
        <w:t>对于无需及时报告的一般偏离事件，研究者结合申办者评估意见和处理措施 填写本中心偏离方案报告表，建议按照季度报告频率递交至本伦理审查管理 办公室。</w:t>
      </w:r>
    </w:p>
    <w:p w14:paraId="16F1AC7D" w14:textId="4E47BC3B" w:rsidR="006F0324" w:rsidRDefault="00B8151F">
      <w:pPr>
        <w:pStyle w:val="a3"/>
        <w:numPr>
          <w:ilvl w:val="0"/>
          <w:numId w:val="1"/>
        </w:numPr>
        <w:spacing w:before="5" w:line="360" w:lineRule="auto"/>
        <w:ind w:left="373" w:right="2" w:hanging="342"/>
        <w:rPr>
          <w:snapToGrid/>
          <w:color w:val="auto"/>
          <w:kern w:val="2"/>
          <w:sz w:val="24"/>
          <w:szCs w:val="24"/>
          <w:lang w:eastAsia="zh-CN"/>
        </w:rPr>
      </w:pPr>
      <w:r>
        <w:rPr>
          <w:rFonts w:hint="eastAsia"/>
          <w:snapToGrid/>
          <w:color w:val="auto"/>
          <w:kern w:val="2"/>
          <w:sz w:val="24"/>
          <w:szCs w:val="24"/>
          <w:lang w:eastAsia="zh-CN"/>
        </w:rPr>
        <w:lastRenderedPageBreak/>
        <w:t>对于同一类型持续性的一般偏离事件，申办者和研究者应谨慎评估对</w:t>
      </w:r>
      <w:r w:rsidR="008414B2">
        <w:rPr>
          <w:rFonts w:hint="eastAsia"/>
          <w:snapToGrid/>
          <w:color w:val="auto"/>
          <w:kern w:val="2"/>
          <w:sz w:val="24"/>
          <w:szCs w:val="24"/>
          <w:lang w:eastAsia="zh-CN"/>
        </w:rPr>
        <w:t>受试者</w:t>
      </w:r>
      <w:r>
        <w:rPr>
          <w:rFonts w:hint="eastAsia"/>
          <w:snapToGrid/>
          <w:color w:val="auto"/>
          <w:kern w:val="2"/>
          <w:sz w:val="24"/>
          <w:szCs w:val="24"/>
          <w:lang w:eastAsia="zh-CN"/>
        </w:rPr>
        <w:t>安全和研究科学性的影响，符合及时报告的标准，应及时报告本伦理审查委员会审查。</w:t>
      </w:r>
    </w:p>
    <w:p w14:paraId="341BAC40" w14:textId="77777777" w:rsidR="00B8151F" w:rsidRDefault="00B8151F">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715A6C8B" w14:textId="77777777" w:rsidR="00B8151F" w:rsidRDefault="00B8151F">
      <w:pPr>
        <w:spacing w:line="360" w:lineRule="auto"/>
        <w:rPr>
          <w:rFonts w:ascii="宋体" w:eastAsia="宋体" w:hAnsi="宋体" w:cs="宋体"/>
          <w:sz w:val="24"/>
          <w:szCs w:val="24"/>
        </w:rPr>
      </w:pPr>
    </w:p>
    <w:p w14:paraId="50F23CCB" w14:textId="77777777" w:rsidR="00B8151F" w:rsidRDefault="00B8151F">
      <w:pPr>
        <w:spacing w:line="360" w:lineRule="auto"/>
        <w:rPr>
          <w:rFonts w:ascii="宋体" w:eastAsia="宋体" w:hAnsi="宋体" w:cs="宋体"/>
          <w:sz w:val="24"/>
          <w:szCs w:val="24"/>
        </w:rPr>
      </w:pPr>
    </w:p>
    <w:p w14:paraId="0D9C646B" w14:textId="77777777" w:rsidR="00B8151F" w:rsidRDefault="00B8151F">
      <w:pPr>
        <w:spacing w:line="360" w:lineRule="auto"/>
        <w:rPr>
          <w:rFonts w:ascii="宋体" w:eastAsia="宋体" w:hAnsi="宋体" w:cs="宋体"/>
          <w:sz w:val="24"/>
          <w:szCs w:val="24"/>
        </w:rPr>
      </w:pPr>
    </w:p>
    <w:p w14:paraId="63847FDA" w14:textId="78130B10" w:rsidR="006F0324" w:rsidRDefault="00B8151F" w:rsidP="00B8151F">
      <w:pPr>
        <w:spacing w:line="360" w:lineRule="auto"/>
        <w:ind w:firstLineChars="1100" w:firstLine="2640"/>
        <w:rPr>
          <w:rFonts w:ascii="宋体" w:eastAsia="宋体" w:hAnsi="宋体" w:cs="宋体"/>
          <w:sz w:val="24"/>
          <w:szCs w:val="24"/>
        </w:rPr>
      </w:pPr>
      <w:r>
        <w:rPr>
          <w:rFonts w:ascii="宋体" w:eastAsia="宋体" w:hAnsi="宋体" w:cs="宋体" w:hint="eastAsia"/>
          <w:sz w:val="24"/>
          <w:szCs w:val="24"/>
        </w:rPr>
        <w:t xml:space="preserve"> 山东第一医科大学第一附属医院（山东省千佛山医院）</w:t>
      </w:r>
    </w:p>
    <w:p w14:paraId="00F10F8F" w14:textId="77777777" w:rsidR="006F0324" w:rsidRDefault="00B8151F">
      <w:pPr>
        <w:spacing w:line="360" w:lineRule="auto"/>
        <w:rPr>
          <w:rFonts w:ascii="宋体" w:eastAsia="宋体" w:hAnsi="宋体" w:cs="宋体"/>
          <w:sz w:val="24"/>
          <w:szCs w:val="24"/>
        </w:rPr>
      </w:pPr>
      <w:r>
        <w:rPr>
          <w:rFonts w:ascii="宋体" w:eastAsia="宋体" w:hAnsi="宋体" w:cs="宋体" w:hint="eastAsia"/>
          <w:sz w:val="24"/>
          <w:szCs w:val="24"/>
        </w:rPr>
        <w:t xml:space="preserve">                                 医学伦理委员会药物临床试验分会</w:t>
      </w:r>
    </w:p>
    <w:p w14:paraId="4AD683AD" w14:textId="69F64C32" w:rsidR="006F0324" w:rsidRDefault="00B8151F">
      <w:pPr>
        <w:spacing w:line="360" w:lineRule="auto"/>
        <w:rPr>
          <w:rFonts w:ascii="宋体" w:eastAsia="宋体" w:hAnsi="宋体" w:cs="宋体"/>
          <w:sz w:val="24"/>
          <w:szCs w:val="24"/>
        </w:rPr>
      </w:pPr>
      <w:r>
        <w:rPr>
          <w:rFonts w:ascii="宋体" w:eastAsia="宋体" w:hAnsi="宋体" w:cs="宋体" w:hint="eastAsia"/>
          <w:sz w:val="24"/>
          <w:szCs w:val="24"/>
        </w:rPr>
        <w:t xml:space="preserve">                                           2025.06.0</w:t>
      </w:r>
      <w:r w:rsidR="008414B2">
        <w:rPr>
          <w:rFonts w:ascii="宋体" w:eastAsia="宋体" w:hAnsi="宋体" w:cs="宋体"/>
          <w:sz w:val="24"/>
          <w:szCs w:val="24"/>
        </w:rPr>
        <w:t>3</w:t>
      </w:r>
    </w:p>
    <w:p w14:paraId="64333ED2" w14:textId="77777777" w:rsidR="006F0324" w:rsidRDefault="006F0324">
      <w:pPr>
        <w:snapToGrid w:val="0"/>
        <w:spacing w:line="360" w:lineRule="auto"/>
        <w:ind w:firstLineChars="150" w:firstLine="360"/>
        <w:jc w:val="center"/>
        <w:rPr>
          <w:sz w:val="24"/>
          <w:szCs w:val="24"/>
        </w:rPr>
      </w:pPr>
    </w:p>
    <w:p w14:paraId="0073DCB9" w14:textId="77777777" w:rsidR="006F0324" w:rsidRDefault="00B8151F">
      <w:pPr>
        <w:snapToGrid w:val="0"/>
        <w:spacing w:line="360" w:lineRule="auto"/>
        <w:ind w:firstLineChars="150" w:firstLine="360"/>
        <w:rPr>
          <w:sz w:val="24"/>
          <w:szCs w:val="24"/>
        </w:rPr>
      </w:pPr>
      <w:r>
        <w:rPr>
          <w:sz w:val="24"/>
          <w:szCs w:val="24"/>
        </w:rPr>
        <w:t xml:space="preserve">  </w:t>
      </w:r>
    </w:p>
    <w:sectPr w:rsidR="006F0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EA9E" w14:textId="77777777" w:rsidR="008414B2" w:rsidRDefault="008414B2" w:rsidP="008414B2">
      <w:r>
        <w:separator/>
      </w:r>
    </w:p>
  </w:endnote>
  <w:endnote w:type="continuationSeparator" w:id="0">
    <w:p w14:paraId="232A498C" w14:textId="77777777" w:rsidR="008414B2" w:rsidRDefault="008414B2" w:rsidP="0084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9F7B" w14:textId="77777777" w:rsidR="008414B2" w:rsidRDefault="008414B2" w:rsidP="008414B2">
      <w:r>
        <w:separator/>
      </w:r>
    </w:p>
  </w:footnote>
  <w:footnote w:type="continuationSeparator" w:id="0">
    <w:p w14:paraId="3DF462B6" w14:textId="77777777" w:rsidR="008414B2" w:rsidRDefault="008414B2" w:rsidP="0084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F77E"/>
    <w:multiLevelType w:val="singleLevel"/>
    <w:tmpl w:val="1DC1F77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A5"/>
    <w:rsid w:val="00020C45"/>
    <w:rsid w:val="0006739B"/>
    <w:rsid w:val="000E1B21"/>
    <w:rsid w:val="002331AE"/>
    <w:rsid w:val="00257317"/>
    <w:rsid w:val="004611B3"/>
    <w:rsid w:val="0047666A"/>
    <w:rsid w:val="005D7615"/>
    <w:rsid w:val="005F16F8"/>
    <w:rsid w:val="0060722B"/>
    <w:rsid w:val="006F0324"/>
    <w:rsid w:val="00727276"/>
    <w:rsid w:val="007D7BB6"/>
    <w:rsid w:val="0083146F"/>
    <w:rsid w:val="008414B2"/>
    <w:rsid w:val="008771A6"/>
    <w:rsid w:val="00B2220C"/>
    <w:rsid w:val="00B32AC4"/>
    <w:rsid w:val="00B33BA5"/>
    <w:rsid w:val="00B8151F"/>
    <w:rsid w:val="00BA0A39"/>
    <w:rsid w:val="00BE7A5F"/>
    <w:rsid w:val="00C06023"/>
    <w:rsid w:val="00DB5F96"/>
    <w:rsid w:val="00DC5C2C"/>
    <w:rsid w:val="00E31C16"/>
    <w:rsid w:val="00E60857"/>
    <w:rsid w:val="00EB2EB9"/>
    <w:rsid w:val="00F942E2"/>
    <w:rsid w:val="00FA5834"/>
    <w:rsid w:val="1FC12DAA"/>
    <w:rsid w:val="4E4509B7"/>
    <w:rsid w:val="61B8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928DD"/>
  <w15:docId w15:val="{B4A74D35-E24E-4AC6-BFD0-867DBE70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8"/>
      <w:szCs w:val="28"/>
      <w:lang w:eastAsia="en-US"/>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semiHidden/>
    <w:qFormat/>
    <w:rPr>
      <w:rFonts w:ascii="宋体" w:eastAsia="宋体" w:hAnsi="宋体" w:cs="宋体"/>
      <w:snapToGrid w:val="0"/>
      <w:color w:val="000000"/>
      <w:kern w:val="0"/>
      <w:sz w:val="28"/>
      <w:szCs w:val="28"/>
      <w:lang w:eastAsia="en-US"/>
    </w:rPr>
  </w:style>
  <w:style w:type="paragraph" w:styleId="a9">
    <w:name w:val="Revision"/>
    <w:hidden/>
    <w:uiPriority w:val="99"/>
    <w:semiHidden/>
    <w:rsid w:val="00257317"/>
    <w:rPr>
      <w:kern w:val="2"/>
      <w:sz w:val="21"/>
      <w:szCs w:val="22"/>
    </w:rPr>
  </w:style>
  <w:style w:type="paragraph" w:styleId="aa">
    <w:name w:val="Balloon Text"/>
    <w:basedOn w:val="a"/>
    <w:link w:val="ab"/>
    <w:uiPriority w:val="99"/>
    <w:semiHidden/>
    <w:unhideWhenUsed/>
    <w:rsid w:val="00257317"/>
    <w:rPr>
      <w:sz w:val="18"/>
      <w:szCs w:val="18"/>
    </w:rPr>
  </w:style>
  <w:style w:type="character" w:customStyle="1" w:styleId="ab">
    <w:name w:val="批注框文本 字符"/>
    <w:basedOn w:val="a0"/>
    <w:link w:val="aa"/>
    <w:uiPriority w:val="99"/>
    <w:semiHidden/>
    <w:rsid w:val="002573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cn</cp:lastModifiedBy>
  <cp:revision>2</cp:revision>
  <dcterms:created xsi:type="dcterms:W3CDTF">2025-06-18T03:00:00Z</dcterms:created>
  <dcterms:modified xsi:type="dcterms:W3CDTF">2025-06-18T03:00:00Z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eyJoZGlkIjoiMmM3OTU4MzY3YjAyZmVkOWNiNmEyY2NkNGRkZDA3ZDEiLCJ1c2VySWQiOiIzMTkzNjYwMzkifQ==</vt:lpwstr>
  </property>
  <property fmtid="{D5CDD505-2E9C-101B-9397-08002B2CF9AE}" pid="3" name="KSOProductBuildVer">
    <vt:lpwstr>2052-12.1.0.21171</vt:lpwstr>
  </property>
  <property fmtid="{D5CDD505-2E9C-101B-9397-08002B2CF9AE}" pid="4" name="ICV">
    <vt:lpwstr>ABB2074C98AE4B43AB7578520BE6EB6F_13</vt:lpwstr>
  </property>
</Properties>
</file>